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4F595F">
        <w:rPr>
          <w:rFonts w:ascii="Arial" w:hAnsi="Arial" w:cs="Arial"/>
          <w:b/>
        </w:rPr>
        <w:t xml:space="preserve">Aluminium </w:t>
      </w:r>
      <w:r w:rsidR="00397FC7">
        <w:rPr>
          <w:rFonts w:ascii="Arial" w:hAnsi="Arial" w:cs="Arial"/>
          <w:b/>
        </w:rPr>
        <w:t>Fensterbank</w:t>
      </w:r>
      <w:r w:rsidR="004F595F">
        <w:rPr>
          <w:rFonts w:ascii="Arial" w:hAnsi="Arial" w:cs="Arial"/>
          <w:b/>
        </w:rPr>
        <w:t>system SOFTLINE PLUS</w:t>
      </w:r>
      <w:r w:rsidR="00397FC7">
        <w:rPr>
          <w:rFonts w:ascii="Arial" w:hAnsi="Arial" w:cs="Arial"/>
          <w:b/>
        </w:rPr>
        <w:t xml:space="preserve"> für Rundfenster</w:t>
      </w:r>
    </w:p>
    <w:p w:rsidR="001973A7" w:rsidRDefault="001973A7" w:rsidP="001973A7">
      <w:pPr>
        <w:pStyle w:val="KeinLeerraum"/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Außenfensterbank aus Aluminium für Rundfenster, halbkreisförmig gerundet mit seitlichen Aufkantungen für den Putzanschluss, Höhe des Anschraubsteges 25mm, Höhe der Tropfkante 40mm</w:t>
      </w:r>
      <w:r w:rsidR="004F595F">
        <w:rPr>
          <w:rFonts w:ascii="Arial" w:hAnsi="Arial" w:cs="Arial"/>
          <w:sz w:val="20"/>
          <w:szCs w:val="20"/>
        </w:rPr>
        <w:t>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4F595F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Fensterbankausladung ist so zu bemessen, dass der Überstand über die fertige Fassade mindestens 30-40mm beträgt.</w:t>
      </w:r>
    </w:p>
    <w:p w:rsidR="004F595F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Befestigung der Aluminiumfensterbank erfolgt durch Verschraubung mit Edelstahlschrauben 3,9x25mm mit Dichtscheibe und Abdeckkappe. Die Anbindung der Fensterbänke an die Fenster muss dicht und gleitfähig mit geeigneten Dichtsystemen ausgeführt werden.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Fensterbankradius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  <w:r w:rsidR="000B6632">
        <w:rPr>
          <w:rFonts w:ascii="Arial" w:hAnsi="Arial" w:cs="Arial"/>
          <w:sz w:val="20"/>
          <w:szCs w:val="20"/>
        </w:rPr>
        <w:t xml:space="preserve"> </w:t>
      </w:r>
      <w:r w:rsidRPr="00397FC7">
        <w:rPr>
          <w:rFonts w:ascii="Arial" w:hAnsi="Arial" w:cs="Arial"/>
          <w:sz w:val="20"/>
          <w:szCs w:val="20"/>
        </w:rPr>
        <w:t>mm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Fensterbankausladung</w:t>
      </w:r>
      <w:r w:rsidRPr="00397FC7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  <w:r w:rsidR="000B663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97FC7">
        <w:rPr>
          <w:rFonts w:ascii="Arial" w:hAnsi="Arial" w:cs="Arial"/>
          <w:sz w:val="20"/>
          <w:szCs w:val="20"/>
        </w:rPr>
        <w:t>mm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tatsächlichen Abmessungen sind durch den Auftragnehmer durch Maßaufnahme am Bau zu ermitteln.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397FC7">
        <w:rPr>
          <w:rFonts w:ascii="Arial" w:hAnsi="Arial" w:cs="Arial"/>
          <w:sz w:val="20"/>
          <w:szCs w:val="20"/>
        </w:rPr>
        <w:t>Eloxalbeschichtung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Oberfläche der Al</w:t>
      </w:r>
      <w:r w:rsidR="004F595F">
        <w:rPr>
          <w:rFonts w:ascii="Arial" w:hAnsi="Arial" w:cs="Arial"/>
          <w:sz w:val="20"/>
          <w:szCs w:val="20"/>
        </w:rPr>
        <w:t>uminiumfensterbänke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  <w:t xml:space="preserve">RAL- </w:t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 xml:space="preserve">Die Aluminiumfensterbänke müssen unterseitig mit einer </w:t>
      </w:r>
      <w:proofErr w:type="spellStart"/>
      <w:r w:rsidRPr="00397FC7">
        <w:rPr>
          <w:rFonts w:ascii="Arial" w:hAnsi="Arial" w:cs="Arial"/>
          <w:sz w:val="20"/>
          <w:szCs w:val="20"/>
        </w:rPr>
        <w:t>Antidröhnbeschichtung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versehen sein. Dabei ist mind. 1/3 der Fensterbankunterseite über die gesamte Länge mit </w:t>
      </w:r>
      <w:proofErr w:type="spellStart"/>
      <w:r w:rsidRPr="00397FC7">
        <w:rPr>
          <w:rFonts w:ascii="Arial" w:hAnsi="Arial" w:cs="Arial"/>
          <w:sz w:val="20"/>
          <w:szCs w:val="20"/>
        </w:rPr>
        <w:t>Antidröhnmaterial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zu belegen. Dieses ist so zu positionieren, dass es im eingebauten Zustand nicht sichtbar ist.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4F595F" w:rsidRDefault="00397FC7" w:rsidP="00397FC7">
      <w:pPr>
        <w:pStyle w:val="KeinLeerraum"/>
        <w:rPr>
          <w:rFonts w:ascii="Arial" w:hAnsi="Arial" w:cs="Arial"/>
          <w:b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Referenzfabrikat: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Pr="004F595F">
        <w:rPr>
          <w:rFonts w:ascii="Arial" w:hAnsi="Arial" w:cs="Arial"/>
          <w:b/>
          <w:sz w:val="20"/>
          <w:szCs w:val="20"/>
        </w:rPr>
        <w:t>BUG Aluminium</w:t>
      </w:r>
      <w:r w:rsidR="004F595F">
        <w:rPr>
          <w:rFonts w:ascii="Arial" w:hAnsi="Arial" w:cs="Arial"/>
          <w:b/>
          <w:sz w:val="20"/>
          <w:szCs w:val="20"/>
        </w:rPr>
        <w:t xml:space="preserve"> F</w:t>
      </w:r>
      <w:r w:rsidRPr="004F595F">
        <w:rPr>
          <w:rFonts w:ascii="Arial" w:hAnsi="Arial" w:cs="Arial"/>
          <w:b/>
          <w:sz w:val="20"/>
          <w:szCs w:val="20"/>
        </w:rPr>
        <w:t>ensterbank</w:t>
      </w:r>
      <w:r w:rsidR="004F595F">
        <w:rPr>
          <w:rFonts w:ascii="Arial" w:hAnsi="Arial" w:cs="Arial"/>
          <w:b/>
          <w:sz w:val="20"/>
          <w:szCs w:val="20"/>
        </w:rPr>
        <w:t>system</w:t>
      </w:r>
    </w:p>
    <w:p w:rsidR="004F595F" w:rsidRDefault="004F595F" w:rsidP="004F595F">
      <w:pPr>
        <w:pStyle w:val="KeinLeerraum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SOFTLINE PLUS </w:t>
      </w:r>
      <w:r w:rsidR="00397FC7" w:rsidRPr="004F595F">
        <w:rPr>
          <w:rFonts w:ascii="Arial" w:hAnsi="Arial" w:cs="Arial"/>
          <w:b/>
          <w:sz w:val="20"/>
          <w:szCs w:val="20"/>
        </w:rPr>
        <w:t>für Rundfenster</w:t>
      </w:r>
    </w:p>
    <w:p w:rsidR="00397FC7" w:rsidRPr="00397FC7" w:rsidRDefault="00397FC7" w:rsidP="004F595F">
      <w:pPr>
        <w:pStyle w:val="KeinLeerraum"/>
        <w:ind w:left="4956" w:firstLine="708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oder gleichwertig</w:t>
      </w:r>
    </w:p>
    <w:p w:rsidR="004F595F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Angebotenes Fensterbankfabrikat: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&lt;Infotext&gt;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3A" w:rsidRDefault="003B173A" w:rsidP="00C53716">
      <w:pPr>
        <w:spacing w:after="0" w:line="240" w:lineRule="auto"/>
      </w:pPr>
      <w:r>
        <w:separator/>
      </w:r>
    </w:p>
  </w:endnote>
  <w:endnote w:type="continuationSeparator" w:id="0">
    <w:p w:rsidR="003B173A" w:rsidRDefault="003B173A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3A" w:rsidRDefault="003B173A" w:rsidP="00C53716">
      <w:pPr>
        <w:spacing w:after="0" w:line="240" w:lineRule="auto"/>
      </w:pPr>
      <w:r>
        <w:separator/>
      </w:r>
    </w:p>
  </w:footnote>
  <w:footnote w:type="continuationSeparator" w:id="0">
    <w:p w:rsidR="003B173A" w:rsidRDefault="003B173A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B6632"/>
    <w:rsid w:val="00187512"/>
    <w:rsid w:val="001973A7"/>
    <w:rsid w:val="001A69A1"/>
    <w:rsid w:val="002812F1"/>
    <w:rsid w:val="002F5AEC"/>
    <w:rsid w:val="003851C2"/>
    <w:rsid w:val="00397FC7"/>
    <w:rsid w:val="003B173A"/>
    <w:rsid w:val="00473B60"/>
    <w:rsid w:val="004F595F"/>
    <w:rsid w:val="00544929"/>
    <w:rsid w:val="00596140"/>
    <w:rsid w:val="00607E45"/>
    <w:rsid w:val="00685945"/>
    <w:rsid w:val="006C7B6B"/>
    <w:rsid w:val="00721159"/>
    <w:rsid w:val="007241F2"/>
    <w:rsid w:val="00772E21"/>
    <w:rsid w:val="007C019C"/>
    <w:rsid w:val="00833FE4"/>
    <w:rsid w:val="008767F8"/>
    <w:rsid w:val="008B7AC0"/>
    <w:rsid w:val="008E5A98"/>
    <w:rsid w:val="00A0212C"/>
    <w:rsid w:val="00A165E0"/>
    <w:rsid w:val="00A56B27"/>
    <w:rsid w:val="00B731B0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7CBCA-C69A-4EBD-9F5C-EFF952B62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4A0B2-C3EB-4E47-BF5F-2BFD754F7D94}"/>
</file>

<file path=customXml/itemProps3.xml><?xml version="1.0" encoding="utf-8"?>
<ds:datastoreItem xmlns:ds="http://schemas.openxmlformats.org/officeDocument/2006/customXml" ds:itemID="{7A6D124C-76FE-444D-B127-B9D5EFE56F4C}"/>
</file>

<file path=customXml/itemProps4.xml><?xml version="1.0" encoding="utf-8"?>
<ds:datastoreItem xmlns:ds="http://schemas.openxmlformats.org/officeDocument/2006/customXml" ds:itemID="{3B266072-5660-4E32-BD18-4A5889763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2017-09-11T18:26:00Z</dcterms:created>
  <dcterms:modified xsi:type="dcterms:W3CDTF">2017-09-11T18:29:00Z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